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危险化学品二级安全生产标准化企业名单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color w:val="auto"/>
          <w:spacing w:val="7"/>
          <w:kern w:val="2"/>
          <w:sz w:val="30"/>
          <w:szCs w:val="30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7"/>
          <w:kern w:val="2"/>
          <w:sz w:val="30"/>
          <w:szCs w:val="30"/>
          <w:shd w:val="clear" w:color="auto" w:fill="FFFFFF"/>
          <w:vertAlign w:val="baseline"/>
          <w:lang w:val="en-US" w:eastAsia="zh-CN" w:bidi="ar-SA"/>
        </w:rPr>
        <w:t>（2023年第一批）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545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行业类型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阿克苏诺贝尔涂料（天津）有限公司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PPG航空材料（天津）有限公司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天津北方石油有限公司储运分公司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天津积水化成品有限公司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精工油墨（天津）有限公司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天津石化液化空气气体有限公司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45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液化空气（天津）有限公司</w:t>
            </w:r>
          </w:p>
        </w:tc>
        <w:tc>
          <w:tcPr>
            <w:tcW w:w="2256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危险化学品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329E2"/>
    <w:rsid w:val="0CF329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2023-01-20T03:52:00Z</dcterms:created>
  <dc:creator>hp</dc:creator>
  <cp:lastModifiedBy>hp</cp:lastModifiedBy>
  <dcterms:modified xsi:type="dcterms:W3CDTF">2023-01-20T03:52:39Z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