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天津市加强非煤矿矿山、危险化学品、金属冶炼行业安全生产责任保险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工作实施方案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为贯彻落实《安全生产法》，进一步做好安全生产责任保险（以下简称“安责险”）工作，强化事故预防，有效降低生产安全事故的发生，切实保障投保的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企业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（以下简称“企业”）及有关人员的合法权益，结合我市实际，依据相关法律法规和规定，制定本方案。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组织管理体系及职责分工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（一）组织管理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市应急管理局负责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非煤矿矿山、危险化学品、金属冶炼行业安责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险工作的组织领导、政策制定和监督管理；各区应急管理局负责职责范围内安责险组织实施和工作宣传，督促企业积极投保，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对未投保企业进行执法检查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；市应急管理局委托保险经纪公司协助开展推动工作。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（二）职责分工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1.市应急管理局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（1）依据国家和我市相关法律、法规、政策，制定完善我市安责险相关政策；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（2）组织推动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非煤矿矿山、危险化学品、金属冶炼行业企业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投保；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（3）对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非煤矿矿山、危险化学品、金属冶炼行业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" w:eastAsia="zh-CN"/>
        </w:rPr>
        <w:t>企业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安责险投保情况开展监督检查。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（4）维护、运行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市应急管理安责险信息管理系统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，并向全国系统推送安责险业务数据。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.各区应急管理局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（1）建立常态化工作机制，指定专门机构和人员负责安责险推动工作；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（2）负责职责范围内安责险工作的组织实施、宣传推动，督促企业积极投保安责险；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（3）掌握本区域企业投保情况，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组织开展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职责范围内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企业安全生产责任保险投保情况执法检查；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（4）及时反馈企业投保、事故预防服务等情况。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3.保险经纪公司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保险经纪公司受市应急管理局委托承担以下工作任务：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（1）依据国家和天津市相关法律、法规、政策，协助制定和完善我市安责险政策；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（2）制定、完善、调整我市安责险统一保险方案；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3）使用市应急管理安责险信息管理系统，采集保险机构安责险业务数据;对保险机构开展事故预防服务情况实现在线检测;对保险机构开展事故预防服务情况开展评估;向市应急管理局汇总上报相关数据；搜集整理投保单位对保险机构提出的异议、投诉及保险机构的处理情况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（5）协助开展安责险政策宣传、业务培训和业务推动；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（6）协助开展安责险政策咨询和政策解释；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（7）每月向市应急管理局报送工作报告。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（8）完成市应急管理局委托的其他事项。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投保范围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强制投保单位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1.在本市取得非煤矿矿山安全生产许可证的企业；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2.在本市取得危险化学品安全生产许可证、危险化学品经营许可证（带有储存设施）企业，危险化学品使用许可证的企业；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3.有本市营业执照并经市应急管理局确定的金属冶炼企业；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4.国家和我市规定应投保安责险的其他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企业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强制投保企业应向本市辖区内依法登记注册的保险机构投保安责险。第1、2类企业以取得本市颁发的许可证为单位投保，第3、4类企业以本市颁发的营业执照为单位投保。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许可证号（营业执照号）与保险单号应一一对应。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鼓励投保单位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鼓励有粉尘涉爆、涉氨制冷、有限空间作业的企业，重大危险源企业，人员密集场所企业及其他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企业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投保安责险。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保险投保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投保企业应按照我市安责险统一保险方案投保。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鼓励保险机构采取共保方式开展安责险工作。企业投保时，保险公司共保体不得拒绝投保。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四、事故预防服务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保险机构应严格落实《安全生产责任保险事故预防技术服务规范》（AQ9010-2019）要求。保险机构出具的保险合同中应明确事故预防服务项目和频次，服务项目和频次不得低于市应急管理局规定的标准。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五、工作要求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各级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应急管理局应当按照《安全生产法》的要求，对应投保企业进行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执法检查。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  <w:lang w:eastAsia="zh-CN"/>
        </w:rPr>
        <w:t>对未按规定投保的企业，应当依据相关法律法规进行处理。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（二）投保企业、保险机构应当严格落实国家和本市相关法规、政策，按照《安全生产责任保险实施办法》的要求，做好投保、承保、事故预防和理赔工作。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保险机构应当按照应急管理部《省级安全生产责任保险信息管理系统上传数据标准》完善业务系统。保险机构业务系统应与市应急管理安责险信息管理系统对接，积极配合市应急管理安责险信息管理系统采集安责险业务数据。投保企业应确保许可证号（营业执照号）与保险单号一一对应。多个许可证号（营业执照号）对应一个保险单号，相关数据将不能上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方案自印发之日起施行。《市应急管理局关于印发〈天津市非煤矿矿山山、危险化学品、烟花爆竹、金属冶炼行业企业安全生产责任保险工作实施方案〉的通知》（津应急法〔2018〕5号）同时废止。如遇国家或应急管理部等相关部门调整安责险政策时，以新出台的政策为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09D6E73"/>
    <w:multiLevelType w:val="singleLevel"/>
    <w:tmpl w:val="F09D6E7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74151EE"/>
    <w:multiLevelType w:val="singleLevel"/>
    <w:tmpl w:val="074151E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ED5B6A"/>
    <w:rsid w:val="00296B10"/>
    <w:rsid w:val="041635F0"/>
    <w:rsid w:val="06523019"/>
    <w:rsid w:val="07A70EC8"/>
    <w:rsid w:val="0B74595E"/>
    <w:rsid w:val="0F942FD5"/>
    <w:rsid w:val="18B15FAD"/>
    <w:rsid w:val="1D373BB9"/>
    <w:rsid w:val="1EA128E0"/>
    <w:rsid w:val="1ECE0DB0"/>
    <w:rsid w:val="1EFF01C4"/>
    <w:rsid w:val="1FA93EDC"/>
    <w:rsid w:val="20AC0E3F"/>
    <w:rsid w:val="242733D6"/>
    <w:rsid w:val="2B8972C0"/>
    <w:rsid w:val="2BB440DD"/>
    <w:rsid w:val="2BCB6E4E"/>
    <w:rsid w:val="2DA92922"/>
    <w:rsid w:val="33A6687B"/>
    <w:rsid w:val="35B76647"/>
    <w:rsid w:val="35D7307D"/>
    <w:rsid w:val="393D7FB9"/>
    <w:rsid w:val="3B0C05B9"/>
    <w:rsid w:val="3EDD43F7"/>
    <w:rsid w:val="400A044A"/>
    <w:rsid w:val="42995465"/>
    <w:rsid w:val="4C875573"/>
    <w:rsid w:val="4CED5B6A"/>
    <w:rsid w:val="4D391C61"/>
    <w:rsid w:val="4D3C12CC"/>
    <w:rsid w:val="52985AF4"/>
    <w:rsid w:val="567129D8"/>
    <w:rsid w:val="582E6F8B"/>
    <w:rsid w:val="5B182D98"/>
    <w:rsid w:val="5E5A78C8"/>
    <w:rsid w:val="5FD34224"/>
    <w:rsid w:val="63254962"/>
    <w:rsid w:val="63830587"/>
    <w:rsid w:val="6D5467C6"/>
    <w:rsid w:val="71341FDF"/>
    <w:rsid w:val="72CD5186"/>
    <w:rsid w:val="75BBDB9E"/>
    <w:rsid w:val="7C5864BA"/>
    <w:rsid w:val="7DF74D9E"/>
    <w:rsid w:val="7ED5D6E6"/>
    <w:rsid w:val="CA6E0F82"/>
    <w:rsid w:val="F4F7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eastAsia="黑体"/>
      <w:b/>
      <w:bCs/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2021-09-16T05:48:00Z</dcterms:created>
  <dc:creator>颖 17526596644</dc:creator>
  <cp:lastModifiedBy>yjgl</cp:lastModifiedBy>
  <dcterms:modified xsi:type="dcterms:W3CDTF">2021-12-29T09:16:19Z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7B6F47F6983D4E23A8764F999EC5724F</vt:lpwstr>
  </property>
</Properties>
</file>