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天津市应急管理处置中心2023年度</w:t>
      </w: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bookmarkStart w:id="0" w:name="_GoBack"/>
      <w:bookmarkEnd w:id="0"/>
      <w:r>
        <w:rPr>
          <w:rFonts w:hint="eastAsia" w:ascii="Times New Roman" w:hAnsi="Times New Roman" w:eastAsia="方正小标宋简体" w:cs="方正小标宋简体"/>
          <w:kern w:val="0"/>
          <w:sz w:val="48"/>
          <w:szCs w:val="48"/>
          <w:highlight w:val="none"/>
          <w:lang w:val="zh-CN"/>
        </w:rPr>
        <w:t>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承担我市危险化学品事故的应急处置工作，承担市危险化学品企业在线监测平台日常值班和监测信息接收、处理、汇总工作；承担“12350”举报专线和举报投诉信息的受理、收集、整理、汇总等服务保障工作。</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天津市应急管理处置中心内设4个职能科室；下辖0个预算单位。纳入天津市应急管理处置中心2023年度部门决算编制范围的单位包括：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1.天津市应急管理处置中心2023年度政府性基金预算财政拨款收入支出决算表为空表。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2.天津市应急管理处置中心2023年度国有资本经营预算财政拨款收入支出决算表为空表。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天津市应急管理处置中心2023年度收入、支出决算总计</w:t>
      </w:r>
      <w:r>
        <w:rPr>
          <w:rFonts w:hint="eastAsia" w:ascii="Times New Roman" w:hAnsi="Times New Roman" w:eastAsia="仿宋_GB2312" w:cs="仿宋_GB2312"/>
          <w:sz w:val="30"/>
          <w:szCs w:val="30"/>
          <w:highlight w:val="none"/>
          <w:lang w:eastAsia="zh-CN"/>
        </w:rPr>
        <w:t>4,878,447.05元，与2022年度相比，收、支总计各增加628,554.93元，增长14.79%，</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：增加部分专项资金项目预算经费。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4,878,392.80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增加648,500.68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增加部分专项资金项目预算经费。</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4,878,392.80</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4,825,690.10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607,595.33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增加部分专项资金项目预算经费。</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4,586,890.10元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95.05</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238,800.00元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占4.95%。</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天津市应急管理处置中心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4,878,447.05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648,554.93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15.33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增加部分专项资金项目预算经费。</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计4,825,690.10元，占本年支出合计的100.0%，与2022年度相比，一般公共预算财政拨款支出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624,595.33元，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14.87%，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：增加部分专项资金项目预算经费。</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4,825,690.10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社会保障和就业支出433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714.35元，占</w:t>
      </w:r>
      <w:r>
        <w:rPr>
          <w:rFonts w:hint="eastAsia" w:ascii="Times New Roman" w:hAnsi="Times New Roman" w:eastAsia="仿宋_GB2312" w:cs="仿宋_GB2312"/>
          <w:sz w:val="30"/>
          <w:szCs w:val="30"/>
          <w:highlight w:val="none"/>
          <w:lang w:val="en-US" w:eastAsia="zh-CN"/>
        </w:rPr>
        <w:t>8.99</w:t>
      </w:r>
      <w:r>
        <w:rPr>
          <w:rFonts w:hint="eastAsia" w:ascii="Times New Roman" w:hAnsi="Times New Roman" w:eastAsia="仿宋_GB2312" w:cs="仿宋_GB2312"/>
          <w:sz w:val="30"/>
          <w:szCs w:val="30"/>
          <w:highlight w:val="none"/>
          <w:lang w:eastAsia="zh-CN"/>
        </w:rPr>
        <w:t>%；卫生健康支出203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676.55元，占</w:t>
      </w:r>
      <w:r>
        <w:rPr>
          <w:rFonts w:hint="eastAsia" w:ascii="Times New Roman" w:hAnsi="Times New Roman" w:eastAsia="仿宋_GB2312" w:cs="仿宋_GB2312"/>
          <w:sz w:val="30"/>
          <w:szCs w:val="30"/>
          <w:highlight w:val="none"/>
          <w:lang w:val="en-US" w:eastAsia="zh-CN"/>
        </w:rPr>
        <w:t>4.22</w:t>
      </w:r>
      <w:r>
        <w:rPr>
          <w:rFonts w:hint="eastAsia" w:ascii="Times New Roman" w:hAnsi="Times New Roman" w:eastAsia="仿宋_GB2312" w:cs="仿宋_GB2312"/>
          <w:sz w:val="30"/>
          <w:szCs w:val="30"/>
          <w:highlight w:val="none"/>
          <w:lang w:eastAsia="zh-CN"/>
        </w:rPr>
        <w:t>%；灾害防治及应急管理支出4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188</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299.2元，占</w:t>
      </w:r>
      <w:r>
        <w:rPr>
          <w:rFonts w:hint="eastAsia" w:ascii="Times New Roman" w:hAnsi="Times New Roman" w:eastAsia="仿宋_GB2312" w:cs="仿宋_GB2312"/>
          <w:sz w:val="30"/>
          <w:szCs w:val="30"/>
          <w:highlight w:val="none"/>
          <w:lang w:val="en-US" w:eastAsia="zh-CN"/>
        </w:rPr>
        <w:t>86.79</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4,775,000.00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4,825,690.10</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101.06%</w:t>
      </w:r>
      <w:r>
        <w:rPr>
          <w:rFonts w:hint="eastAsia" w:ascii="Times New Roman" w:hAnsi="Times New Roman" w:eastAsia="仿宋_GB2312" w:cs="仿宋_GB2312"/>
          <w:kern w:val="0"/>
          <w:sz w:val="30"/>
          <w:szCs w:val="30"/>
          <w:highlight w:val="none"/>
        </w:rPr>
        <w:t>。其中：</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2023年度一般公共预算财政拨款支出年初预算为4,825,690.10元，支出决算4,775,000.00元，完成年初预算的101.06%。其中：</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社会保障和就业支出（类）行政事业单位养老支出（款）机关事业单位职业年金缴费支出（项）的年初预算数为150,000.00元。支出决算为146,558.00元，完成年初预算的97.71%，决算数小于年初预算数的主要原因是人员变动，经费支出减少。</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2.卫生健康支出（类）行政事业单位医疗（款）事业单位医疗（项）的年初预算数为197,000.00元。支出决算为181,691.60元，完成年初预算的92.23%，决算数小于年初预算数的主要原因是人员变动，经费支出减少。</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灾害防治及应急管理支出（类）应急管理事务（款）安全监管（项）的年初预算数为4,099,000.00元。支出决算为4,188,299.20元，完成年初预算的102.18%，决算数大于年初预算数的主要原因是人员经费预算追加，经费支出增加。</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卫生健康支出（类）行政事业单位医疗（款）其他行政事业单位医疗支出（项）的年初预算数为28,000.00元。支出决算为21,984.95元，完成年初预算的78.52%，决算数小于年初预算数的主要原因是人员变动，经费支出减少。</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5.社会保障和就业支出（类）行政事业单位养老支出（款）机关事业单位基本养老保险缴费支出（项）的年初预算数为301,000.00元。支出决算为287,156.35元，完成年初预算的95.40%，决算数小于年初预算数的主要原因是人员变动，经费支出减少。</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天津市应急管理处置中心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4,586,890.10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544,995.33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增人增资增加人员经费。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4,061,297.30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基本工资、津贴补贴、奖金、机关事业单位基本养老保险缴费、职业年金缴费、职工基本医疗保险缴费、其他社会保障缴费、住房公积金、其他工资福利支出。</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525,592.80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办公费、电费、邮电费、差旅费、维修(护)费、培训费、公务接待费、工会经费、福利费、其他交通费用、其他商品和服务支出、办公设备购置。</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天津市应急管理处置中心2023年度无政府性基金预算财政拨款收入、支出和结转结余。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5,000.00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1,610.00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3,390.00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32.2</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1,610.00</w:t>
      </w:r>
      <w:r>
        <w:rPr>
          <w:rFonts w:hint="eastAsia" w:ascii="Times New Roman" w:hAnsi="Times New Roman" w:eastAsia="仿宋_GB2312" w:cs="仿宋_GB2312"/>
          <w:kern w:val="0"/>
          <w:sz w:val="30"/>
          <w:szCs w:val="30"/>
          <w:highlight w:val="none"/>
        </w:rPr>
        <w:t>元。决算数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厉行节约，减少接待支出。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随着疫情放开，公务接待批次增加。</w:t>
      </w:r>
    </w:p>
    <w:p>
      <w:pPr>
        <w:pStyle w:val="3"/>
        <w:keepNext/>
        <w:keepLines/>
        <w:pageBreakBefore w:val="0"/>
        <w:widowControl w:val="0"/>
        <w:kinsoku/>
        <w:wordWrap/>
        <w:overflowPunct/>
        <w:topLinePunct w:val="0"/>
        <w:autoSpaceDE w:val="0"/>
        <w:autoSpaceDN w:val="0"/>
        <w:bidi w:val="0"/>
        <w:adjustRightInd w:val="0"/>
        <w:snapToGrid/>
        <w:spacing w:beforeLines="0" w:afterLines="0" w:line="600" w:lineRule="exact"/>
        <w:ind w:firstLine="602"/>
        <w:jc w:val="both"/>
        <w:textAlignment w:val="auto"/>
        <w:rPr>
          <w:rFonts w:hint="default" w:ascii="Times New Roman" w:hAnsi="Times New Roman" w:eastAsia="黑体" w:cs="Times New Roman"/>
          <w:color w:val="auto"/>
          <w:sz w:val="30"/>
          <w:szCs w:val="24"/>
          <w:highlight w:val="none"/>
          <w:lang w:val="en-US"/>
        </w:rPr>
      </w:pPr>
      <w:r>
        <w:rPr>
          <w:rFonts w:hint="default" w:ascii="Times New Roman" w:hAnsi="Times New Roman" w:eastAsia="楷体" w:cs="Times New Roman"/>
          <w:b/>
          <w:color w:val="auto"/>
          <w:sz w:val="30"/>
          <w:szCs w:val="24"/>
          <w:highlight w:val="none"/>
          <w:lang w:val="en-US"/>
        </w:rPr>
        <w:t>（二）具体情况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1.因公出国（境）费预算0.00元，支出决算0.00元，与预算相比持平；较上年持平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因公出国（境）费。</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 xml:space="preserve">2023年本单位组织的出国团组0个，出国0人次。 </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2.公务用车购置及运行维护费预算0.00元，支出决算0.00元，与预算相比持平；较上年持平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公务用车购置及运行维护费。</w:t>
      </w:r>
      <w:r>
        <w:rPr>
          <w:rFonts w:hint="default" w:ascii="Times New Roman" w:hAnsi="Times New Roman" w:eastAsia="仿宋" w:cs="Times New Roman"/>
          <w:color w:val="auto"/>
          <w:kern w:val="2"/>
          <w:sz w:val="30"/>
          <w:szCs w:val="24"/>
          <w:highlight w:val="none"/>
          <w:lang w:val="en-US"/>
        </w:rPr>
        <w:t>其中：</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公务用车运行维护费预算0.00元，支出决算0.00元，与预算相比持平；较上年持</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公务用车运行维护费。截至2023年12月31日，使用财政拨款开支运行维护费的公务用车保有量为0辆。</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公务用车购置费预算0.00元，支出决算0.00元，与预算相比持平；较上年持平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公务用车购置费。2023年购置公务用车0辆。</w:t>
      </w:r>
    </w:p>
    <w:p>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5,000.00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1,610.00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3,390.00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32.2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1,610.00</w:t>
      </w:r>
      <w:r>
        <w:rPr>
          <w:rFonts w:hint="eastAsia" w:ascii="Times New Roman" w:hAnsi="Times New Roman" w:eastAsia="仿宋_GB2312" w:cs="仿宋_GB2312"/>
          <w:kern w:val="0"/>
          <w:sz w:val="30"/>
          <w:szCs w:val="30"/>
          <w:highlight w:val="none"/>
        </w:rPr>
        <w:t>元。决算数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厉行节约，减少接待支出。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增加</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随着疫情放开，公务接待批次增加。</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1</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14</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天津市应急管理处置中心2023年度无机关运行经费。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天津市应急管理处置中心</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438,245.00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438,245.00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438,245.00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438,245.00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天津市应急管理处置中心</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1</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1</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台（套）。</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根据预算绩效管理要求，天津市应急管理处置中心2023年度已对1个市级项目开展绩效自评，涉及金额238800元，自评结果已随部门决算一并公开；本年度未开展项目部门评价。</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spacing w:beforeLines="0" w:afterLines="0" w:line="600" w:lineRule="exact"/>
        <w:ind w:firstLine="600"/>
        <w:rPr>
          <w:rFonts w:hint="eastAsia" w:ascii="仿宋_GB2312" w:hAnsi="仿宋_GB2312" w:eastAsia="仿宋_GB2312"/>
          <w:b/>
          <w:color w:val="000000"/>
          <w:sz w:val="30"/>
          <w:szCs w:val="24"/>
          <w:lang w:val="en-US"/>
        </w:rPr>
      </w:pPr>
      <w:r>
        <w:rPr>
          <w:rFonts w:hint="eastAsia" w:ascii="仿宋_GB2312" w:hAnsi="仿宋_GB2312" w:eastAsia="仿宋_GB2312"/>
          <w:color w:val="000000"/>
          <w:sz w:val="30"/>
          <w:szCs w:val="24"/>
          <w:lang w:val="en-US"/>
        </w:rPr>
        <w:t>天津市应急管理处置中心</w:t>
      </w:r>
      <w:r>
        <w:rPr>
          <w:rFonts w:hint="eastAsia" w:ascii="仿宋_GB2312" w:hAnsi="仿宋_GB2312" w:eastAsia="仿宋_GB2312"/>
          <w:color w:val="000000"/>
          <w:kern w:val="2"/>
          <w:sz w:val="30"/>
          <w:szCs w:val="24"/>
          <w:lang w:val="zh-CN"/>
        </w:rPr>
        <w:t>不属于乡、镇、街级单位，不涉及公开202</w:t>
      </w:r>
      <w:r>
        <w:rPr>
          <w:rFonts w:hint="eastAsia" w:ascii="仿宋_GB2312" w:hAnsi="仿宋_GB2312" w:eastAsia="仿宋_GB2312"/>
          <w:color w:val="000000"/>
          <w:kern w:val="2"/>
          <w:sz w:val="30"/>
          <w:szCs w:val="24"/>
          <w:lang w:val="en-US" w:eastAsia="zh-CN"/>
        </w:rPr>
        <w:t>3</w:t>
      </w:r>
      <w:r>
        <w:rPr>
          <w:rFonts w:hint="eastAsia" w:ascii="仿宋_GB2312" w:hAnsi="仿宋_GB2312" w:eastAsia="仿宋_GB2312"/>
          <w:color w:val="000000"/>
          <w:kern w:val="2"/>
          <w:sz w:val="30"/>
          <w:szCs w:val="24"/>
          <w:lang w:val="zh-CN"/>
        </w:rPr>
        <w:t>年度教育、医疗卫生、社会保障和就业、住房保障、涉农补贴等民生支出情况</w:t>
      </w:r>
      <w:r>
        <w:rPr>
          <w:rFonts w:hint="eastAsia" w:ascii="楷体" w:hAnsi="楷体" w:eastAsia="楷体"/>
          <w:color w:val="auto"/>
          <w:sz w:val="30"/>
          <w:szCs w:val="24"/>
          <w:lang w:val="en-US"/>
        </w:rPr>
        <w:t>。</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3NGMwMGIwZTZiMzhkOWQwMGU0OThjNjkxY2ExOD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272E64"/>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1059D8"/>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7"/>
    <w:link w:val="2"/>
    <w:qFormat/>
    <w:uiPriority w:val="99"/>
    <w:rPr>
      <w:rFonts w:ascii="方正小标宋简体" w:eastAsia="方正小标宋简体"/>
      <w:kern w:val="0"/>
      <w:sz w:val="24"/>
      <w:szCs w:val="24"/>
    </w:rPr>
  </w:style>
  <w:style w:type="character" w:customStyle="1" w:styleId="10">
    <w:name w:val="标题 2 字符"/>
    <w:basedOn w:val="7"/>
    <w:link w:val="3"/>
    <w:qFormat/>
    <w:uiPriority w:val="99"/>
    <w:rPr>
      <w:rFonts w:ascii="方正小标宋简体" w:eastAsia="方正小标宋简体"/>
      <w:kern w:val="0"/>
      <w:sz w:val="24"/>
      <w:szCs w:val="24"/>
    </w:rPr>
  </w:style>
  <w:style w:type="character" w:customStyle="1" w:styleId="11">
    <w:name w:val="页眉 字符"/>
    <w:basedOn w:val="7"/>
    <w:link w:val="6"/>
    <w:qFormat/>
    <w:uiPriority w:val="99"/>
    <w:rPr>
      <w:sz w:val="18"/>
      <w:szCs w:val="18"/>
    </w:rPr>
  </w:style>
  <w:style w:type="character" w:customStyle="1" w:styleId="12">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4164</Words>
  <Characters>4960</Characters>
  <Lines>82</Lines>
  <Paragraphs>23</Paragraphs>
  <ScaleCrop>false</ScaleCrop>
  <LinksUpToDate>false</LinksUpToDate>
  <CharactersWithSpaces>4984</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2024-08-28T01:48:03Z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4E7918C361A3472F975EC17CD45D8509_13</vt:lpwstr>
  </property>
</Properties>
</file>