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3"/>
        <w:rPr>
          <w:rFonts w:ascii="方正仿宋_GBK" w:hAnsi="方正仿宋_GBK" w:eastAsia="方正仿宋_GBK" w:cs="方正仿宋_GBK"/>
          <w:sz w:val="28"/>
        </w:rPr>
      </w:pPr>
      <w:bookmarkStart w:id="0" w:name="_Toc157761260"/>
    </w:p>
    <w:p>
      <w:pPr>
        <w:outlineLvl w:val="3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>
      <w:pPr>
        <w:jc w:val="center"/>
        <w:outlineLvl w:val="3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</w:pPr>
    </w:p>
    <w:p>
      <w:pPr>
        <w:jc w:val="center"/>
        <w:outlineLvl w:val="3"/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</w:rPr>
        <w:t>年市应急局事务中心防汛指挥车运维经费项目绩效目标表</w:t>
      </w:r>
      <w:bookmarkEnd w:id="0"/>
    </w:p>
    <w:tbl>
      <w:tblPr>
        <w:tblStyle w:val="3"/>
        <w:tblW w:w="9866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4"/>
            </w:pPr>
            <w:r>
              <w:t>375204天津市应急管理事务中心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5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2025年市应急局事务中心防汛指挥车运维经费项目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20.00</w:t>
            </w:r>
          </w:p>
        </w:tc>
        <w:tc>
          <w:tcPr>
            <w:tcW w:w="15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20.00</w:t>
            </w:r>
          </w:p>
        </w:tc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8590" w:type="dxa"/>
            <w:gridSpan w:val="6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支付防汛指挥车辆高速费，油费，保险费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1.开展对防汛指挥车辆运维，保障防汛指挥车辆正常运转，做好防汛准备工作。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9"/>
      </w:pPr>
    </w:p>
    <w:tbl>
      <w:tblPr>
        <w:tblStyle w:val="3"/>
        <w:tblW w:w="9865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保障车辆数</w:t>
            </w:r>
          </w:p>
        </w:tc>
        <w:tc>
          <w:tcPr>
            <w:tcW w:w="343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保障车辆数</w:t>
            </w:r>
          </w:p>
        </w:tc>
        <w:tc>
          <w:tcPr>
            <w:tcW w:w="255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≥2台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车辆运行稳定率</w:t>
            </w:r>
          </w:p>
        </w:tc>
        <w:tc>
          <w:tcPr>
            <w:tcW w:w="343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车辆运行稳定率</w:t>
            </w:r>
          </w:p>
        </w:tc>
        <w:tc>
          <w:tcPr>
            <w:tcW w:w="255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≥95%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车辆稳定运行时间</w:t>
            </w:r>
          </w:p>
        </w:tc>
        <w:tc>
          <w:tcPr>
            <w:tcW w:w="343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车辆稳定运行时间</w:t>
            </w:r>
          </w:p>
        </w:tc>
        <w:tc>
          <w:tcPr>
            <w:tcW w:w="255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1年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车辆维护费</w:t>
            </w:r>
          </w:p>
        </w:tc>
        <w:tc>
          <w:tcPr>
            <w:tcW w:w="343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车辆维护费</w:t>
            </w:r>
          </w:p>
        </w:tc>
        <w:tc>
          <w:tcPr>
            <w:tcW w:w="255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≤20万元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提升防汛车辆维保质量</w:t>
            </w:r>
          </w:p>
        </w:tc>
        <w:tc>
          <w:tcPr>
            <w:tcW w:w="343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提升防汛车辆维保质量</w:t>
            </w:r>
          </w:p>
        </w:tc>
        <w:tc>
          <w:tcPr>
            <w:tcW w:w="255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车辆使用人员满意度</w:t>
            </w:r>
          </w:p>
        </w:tc>
        <w:tc>
          <w:tcPr>
            <w:tcW w:w="343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车辆使用人员满意度</w:t>
            </w:r>
          </w:p>
        </w:tc>
        <w:tc>
          <w:tcPr>
            <w:tcW w:w="255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</w:pPr>
            <w:r>
              <w:t>≥90%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11D62"/>
    <w:rsid w:val="39933CC5"/>
    <w:rsid w:val="4E163DB6"/>
    <w:rsid w:val="65E11D62"/>
    <w:rsid w:val="6D0673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5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7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8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2024-02-07T08:19:00Z</dcterms:created>
  <dc:creator>hp</dc:creator>
  <cp:lastModifiedBy>hp</cp:lastModifiedBy>
  <cp:lastPrinted>2025-02-27T08:04:14Z</cp:lastPrinted>
  <dcterms:modified xsi:type="dcterms:W3CDTF">2025-02-27T08:04:16Z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