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1</w:t>
      </w:r>
    </w:p>
    <w:p>
      <w:pPr>
        <w:widowControl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32"/>
          <w:lang w:eastAsia="zh-CN"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32"/>
          <w:lang w:bidi="ar"/>
        </w:rPr>
        <w:t>专项行动工作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32"/>
          <w:lang w:eastAsia="zh-CN" w:bidi="ar"/>
        </w:rPr>
        <w:t>联络人报名表</w:t>
      </w:r>
    </w:p>
    <w:p>
      <w:pPr>
        <w:widowControl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32"/>
          <w:lang w:eastAsia="zh-CN" w:bidi="ar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572"/>
        <w:gridCol w:w="162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姓名</w:t>
            </w:r>
          </w:p>
        </w:tc>
        <w:tc>
          <w:tcPr>
            <w:tcW w:w="3572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单位</w:t>
            </w:r>
          </w:p>
        </w:tc>
        <w:tc>
          <w:tcPr>
            <w:tcW w:w="1627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职务</w:t>
            </w:r>
          </w:p>
        </w:tc>
        <w:tc>
          <w:tcPr>
            <w:tcW w:w="2265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3572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1627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32"/>
                <w:vertAlign w:val="baseline"/>
                <w:lang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eastAsia="zh-CN" w:bidi="ar"/>
        </w:rPr>
        <w:t>填报单位：</w:t>
      </w: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eastAsia="zh-CN" w:bidi="ar"/>
        </w:rPr>
        <w:t>联系人：</w:t>
      </w: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eastAsia="zh-CN" w:bidi="ar"/>
        </w:rPr>
        <w:t>联系电话：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Times New Roman" w:hAnsi="Times New Roman" w:eastAsia="仿宋_GB2312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方正黑体_GBK"/>
          <w:color w:val="000000"/>
          <w:kern w:val="0"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spacing w:line="460" w:lineRule="exact"/>
        <w:jc w:val="center"/>
        <w:rPr>
          <w:rFonts w:hint="eastAsia" w:ascii="方正小标宋简体" w:hAnsi="方正黑体_GBK" w:eastAsia="方正小标宋简体" w:cs="方正黑体_GBK"/>
          <w:color w:val="373737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专项行动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eastAsia="zh-CN" w:bidi="ar"/>
        </w:rPr>
        <w:t>情况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统计表</w:t>
      </w:r>
    </w:p>
    <w:tbl>
      <w:tblPr>
        <w:tblStyle w:val="6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179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8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eastAsia="zh-CN" w:bidi="ar"/>
              </w:rPr>
            </w:pP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方正黑体_GBK"/>
                <w:color w:val="auto"/>
                <w:kern w:val="0"/>
                <w:sz w:val="30"/>
                <w:szCs w:val="30"/>
                <w:lang w:bidi="ar"/>
              </w:rPr>
              <w:t>数</w:t>
            </w:r>
            <w:r>
              <w:rPr>
                <w:rFonts w:hint="eastAsia" w:ascii="黑体" w:hAnsi="黑体" w:eastAsia="黑体" w:cs="方正黑体_GBK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方正黑体_GBK"/>
                <w:color w:val="auto"/>
                <w:kern w:val="0"/>
                <w:sz w:val="30"/>
                <w:szCs w:val="30"/>
                <w:lang w:bidi="ar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制定专项行动方案(个)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派出检查组数量(个)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出动人员数量(人次)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排查火灾隐患(处)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发放整改通知书(份)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eastAsia="zh-CN" w:bidi="ar"/>
              </w:rPr>
              <w:t>建立火灾隐患排查整治台账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整改火灾隐患(处)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受理案件数量（起）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总数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行政案件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刑事案件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查处/破获案件数量（起）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总数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黑体_GBK" w:eastAsia="仿宋_GB2312" w:cs="方正黑体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行政案件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刑事案件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打击处理和教育人员（人次）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总数</w:t>
            </w:r>
          </w:p>
        </w:tc>
        <w:tc>
          <w:tcPr>
            <w:tcW w:w="3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行政处罚</w:t>
            </w:r>
          </w:p>
        </w:tc>
        <w:tc>
          <w:tcPr>
            <w:tcW w:w="3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刑事拘留</w:t>
            </w:r>
          </w:p>
        </w:tc>
        <w:tc>
          <w:tcPr>
            <w:tcW w:w="3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逮捕</w:t>
            </w:r>
          </w:p>
        </w:tc>
        <w:tc>
          <w:tcPr>
            <w:tcW w:w="3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移送起诉</w:t>
            </w:r>
          </w:p>
        </w:tc>
        <w:tc>
          <w:tcPr>
            <w:tcW w:w="3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教育、劝阻人员</w:t>
            </w:r>
          </w:p>
        </w:tc>
        <w:tc>
          <w:tcPr>
            <w:tcW w:w="30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罚款金额（元）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追责问责人员(人)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  <w:t>其他成效</w:t>
            </w:r>
          </w:p>
        </w:tc>
        <w:tc>
          <w:tcPr>
            <w:tcW w:w="51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方正仿宋_GBK" w:eastAsia="仿宋_GB2312" w:cs="方正仿宋_GBK"/>
                <w:color w:val="auto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adjustRightInd/>
        <w:snapToGrid/>
        <w:spacing w:line="460" w:lineRule="exact"/>
        <w:ind w:left="420" w:leftChars="200" w:right="420" w:rightChars="200"/>
        <w:rPr>
          <w:rFonts w:ascii="Times New Roman" w:hAnsi="Times New Roman" w:eastAsia="仿宋_GB2312" w:cs="Times New Roman"/>
          <w:color w:val="auto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adjustRightInd/>
        <w:snapToGrid/>
        <w:spacing w:line="460" w:lineRule="exact"/>
        <w:ind w:left="420" w:leftChars="200" w:right="420" w:right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widowControl/>
        <w:adjustRightInd/>
        <w:snapToGrid/>
        <w:spacing w:line="460" w:lineRule="exact"/>
        <w:ind w:left="420" w:leftChars="200" w:right="420" w:right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adjustRightInd/>
        <w:snapToGrid/>
        <w:spacing w:line="460" w:lineRule="exact"/>
        <w:ind w:left="420" w:leftChars="200" w:right="420" w:right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adjustRightInd/>
        <w:snapToGrid/>
        <w:spacing w:line="460" w:lineRule="exact"/>
        <w:ind w:left="420" w:leftChars="200" w:right="420" w:rightChars="20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森林火灾隐患排查整治台账</w:t>
      </w:r>
    </w:p>
    <w:p>
      <w:pPr>
        <w:widowControl/>
        <w:adjustRightInd/>
        <w:snapToGrid/>
        <w:spacing w:line="460" w:lineRule="exact"/>
        <w:ind w:left="420" w:leftChars="200" w:right="420" w:rightChars="200"/>
        <w:jc w:val="center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</w:pPr>
    </w:p>
    <w:p>
      <w:pPr>
        <w:widowControl/>
        <w:adjustRightInd/>
        <w:snapToGrid/>
        <w:spacing w:line="460" w:lineRule="exact"/>
        <w:ind w:left="0" w:leftChars="0" w:right="420" w:right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填报单位（盖章）：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填报时间：</w:t>
      </w:r>
    </w:p>
    <w:tbl>
      <w:tblPr>
        <w:tblStyle w:val="7"/>
        <w:tblW w:w="15675" w:type="dxa"/>
        <w:tblInd w:w="-10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30"/>
        <w:gridCol w:w="1275"/>
        <w:gridCol w:w="3675"/>
        <w:gridCol w:w="3105"/>
        <w:gridCol w:w="153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火灾隐患名称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隐患具体描述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36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隐患整改类别（立即整改、限期整改、长期推进）</w:t>
            </w:r>
          </w:p>
        </w:tc>
        <w:tc>
          <w:tcPr>
            <w:tcW w:w="310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整改时限（已完成、整改预计完成时间）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责任人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420" w:right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7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7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7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/>
              <w:adjustRightInd/>
              <w:snapToGrid/>
              <w:spacing w:line="440" w:lineRule="exact"/>
              <w:ind w:right="420" w:right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adjustRightInd/>
        <w:snapToGrid/>
        <w:spacing w:line="460" w:lineRule="exact"/>
        <w:ind w:left="420" w:leftChars="200" w:right="420" w:right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588" w:right="2098" w:bottom="1474" w:left="198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420" w:rightChars="200" w:firstLine="0" w:firstLineChars="0"/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ZtZns8A&#10;AAAFAQAADwAAAAAAAAABACAAAAAiAAAAZHJzL2Rvd25yZXYueG1sUEsBAhQAFAAAAAgAh07iQDOQ&#10;kPG2AQAAVQMAAA4AAAAAAAAAAQAgAAAAHgEAAGRycy9lMm9Eb2MueG1sUEsFBgAAAAAGAAYAWQEA&#10;AEYFAAAAAA==&#10;">
              <v:path/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26F1"/>
    <w:rsid w:val="419526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index 5"/>
    <w:basedOn w:val="1"/>
    <w:next w:val="1"/>
    <w:uiPriority w:val="0"/>
    <w:pPr>
      <w:ind w:left="1680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2022-04-14T08:50:00Z</dcterms:created>
  <dc:creator>hp</dc:creator>
  <cp:lastModifiedBy>hp</cp:lastModifiedBy>
  <dcterms:modified xsi:type="dcterms:W3CDTF">2022-04-14T08:51:21Z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