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安全生产警示提醒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eastAsia="宋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进入冬季，气候寒冷干燥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雾雪、冰冻、大风、强降温等恶劣天气增多，各类安全风险和危险化学品固有风险交织叠加，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危险化学品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安全生产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工作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面临严峻挑战。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为切实做好化工、危险化学品、医药企业春节及全国“两会”期间安全生产工作，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 w:bidi="ar"/>
        </w:rPr>
        <w:t>坚决防范和遏制危险化学品安全生产事故，确保冬季生产安全，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现就有关工作警示提示如下：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一是吸取事故教训。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深刻吸取近年来冬季危险化学品生产安全事故教训，严格落实企业安全生产主体责任，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严格执行企业各项安全管理规章制度和岗位安全操作规程，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及时关注天气预报和灾害预警信息，合理安排生产，严禁赶工期、抢产量、超负荷。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落实冬防措施。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针对冬季安全生产工作特点，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各企业要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严格落实防冻凝、防滑跌、防中毒窒息、防火防爆、防泄漏等措施，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为从业人员配备防冻、防滑、防中毒等劳动保护用品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，并督促从业人员正确佩戴使用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作业管理。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严格开停车、检维修、特殊作业和外包人员安全管理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。特殊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作业前要严格履行审批手续，开展安全风险辨识，落实风险管控措施，配备专人现场监护，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严禁违章冒险作业。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恶劣天气环境下，尽量避免室外特殊作业。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四是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开展培训教育。各企业要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组织开展冬季安全生产专题培训和宣传教育活动，普及防冻伤、防滑跌、防中毒窒息、防火防爆等方面的安全知识，提高员工安全意识、操作技能和自救、互救技能。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强化应急值守。做好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雾雪、冰冻、大风、强降温等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灾害性天气的应急准备工作，适时开展应急演练，提升应急处置实战能力。严格落实领导在岗带班制度，配齐配足应急装备设施，遇有突发状况及时处理。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各区应急管理部门要严格落实“四铁”、“六必”要求，持续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加大执法检查力度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该处罚的一律上限处罚，该停产的一律停产，该关闭的一律关闭，并公开向社会曝光。各企业务必高度重视，深刻吸取教训，自觉扛起企业主体责任，主要负责人要亲自部署、亲自抓，确保安全生产各项管理制度不落空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Mh2d9gbAgAAIwQAAA4A&#10;AAAAAAAAAQAgAAAAHwEAAGRycy9lMm9Eb2MueG1sUEsFBgAAAAAGAAYAWQEAAK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006EF"/>
    <w:rsid w:val="090006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spacing w:before="240" w:after="60"/>
      <w:outlineLvl w:val="3"/>
    </w:pPr>
    <w:rPr>
      <w:rFonts w:eastAsia="宋体" w:cs="Times New Roman"/>
      <w:b/>
      <w:bCs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1"/>
    <w:next w:val="3"/>
    <w:uiPriority w:val="0"/>
    <w:pPr>
      <w:ind w:firstLine="420" w:firstLineChars="200"/>
    </w:p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2023-01-12T09:40:00Z</dcterms:created>
  <dc:creator>hp</dc:creator>
  <cp:lastModifiedBy>hp</cp:lastModifiedBy>
  <dcterms:modified xsi:type="dcterms:W3CDTF">2023-01-12T09:40:42Z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