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default" w:eastAsia="黑体"/>
          <w:snapToGrid w:val="0"/>
          <w:kern w:val="0"/>
          <w:sz w:val="32"/>
          <w:szCs w:val="32"/>
        </w:rPr>
      </w:pPr>
      <w:r>
        <w:rPr>
          <w:rFonts w:hint="default" w:eastAsia="黑体"/>
          <w:snapToGrid w:val="0"/>
          <w:kern w:val="0"/>
          <w:sz w:val="32"/>
          <w:szCs w:val="32"/>
        </w:rPr>
        <w:t>附件</w:t>
      </w:r>
    </w:p>
    <w:p>
      <w:pPr>
        <w:adjustRightInd w:val="0"/>
        <w:snapToGrid w:val="0"/>
        <w:spacing w:line="600" w:lineRule="exact"/>
        <w:rPr>
          <w:rFonts w:hint="default"/>
          <w:snapToGrid w:val="0"/>
          <w:kern w:val="0"/>
          <w:sz w:val="32"/>
          <w:szCs w:val="32"/>
        </w:rPr>
      </w:pPr>
    </w:p>
    <w:p>
      <w:pPr>
        <w:spacing w:line="600" w:lineRule="exact"/>
        <w:jc w:val="center"/>
        <w:rPr>
          <w:rFonts w:hint="default" w:ascii="Times New Roman" w:eastAsia="方正小标宋简体"/>
          <w:sz w:val="44"/>
          <w:szCs w:val="44"/>
        </w:rPr>
      </w:pPr>
      <w:r>
        <w:rPr>
          <w:rFonts w:hint="default" w:ascii="Times New Roman" w:eastAsia="方正小标宋简体"/>
          <w:sz w:val="44"/>
          <w:szCs w:val="44"/>
        </w:rPr>
        <w:t>天津市危险化学品企业安全生产</w:t>
      </w:r>
    </w:p>
    <w:p>
      <w:pPr>
        <w:spacing w:line="600" w:lineRule="exact"/>
        <w:jc w:val="center"/>
        <w:rPr>
          <w:rFonts w:ascii="Times New Roman" w:eastAsia="方正小标宋简体"/>
          <w:sz w:val="44"/>
          <w:szCs w:val="44"/>
        </w:rPr>
      </w:pPr>
      <w:r>
        <w:rPr>
          <w:rFonts w:hint="default" w:ascii="Times New Roman" w:eastAsia="方正小标宋简体"/>
          <w:sz w:val="44"/>
          <w:szCs w:val="44"/>
        </w:rPr>
        <w:t>轻微违法行为记分标准</w:t>
      </w:r>
    </w:p>
    <w:p>
      <w:pPr>
        <w:adjustRightInd w:val="0"/>
        <w:snapToGrid w:val="0"/>
        <w:spacing w:line="600" w:lineRule="exact"/>
        <w:rPr>
          <w:rFonts w:hint="default"/>
          <w:snapToGrid w:val="0"/>
          <w:kern w:val="0"/>
          <w:sz w:val="32"/>
          <w:szCs w:val="32"/>
        </w:rPr>
      </w:pPr>
    </w:p>
    <w:tbl>
      <w:tblPr>
        <w:tblStyle w:val="3"/>
        <w:tblW w:w="9264"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66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trPr>
        <w:tc>
          <w:tcPr>
            <w:tcW w:w="993" w:type="dxa"/>
            <w:vAlign w:val="center"/>
          </w:tcPr>
          <w:p>
            <w:pPr>
              <w:spacing w:line="400" w:lineRule="exact"/>
              <w:jc w:val="center"/>
              <w:rPr>
                <w:rFonts w:eastAsia="黑体"/>
                <w:color w:val="000000"/>
                <w:sz w:val="32"/>
                <w:szCs w:val="32"/>
              </w:rPr>
            </w:pPr>
            <w:r>
              <w:rPr>
                <w:rFonts w:eastAsia="黑体"/>
                <w:color w:val="000000"/>
                <w:sz w:val="32"/>
                <w:szCs w:val="32"/>
              </w:rPr>
              <w:t>序号</w:t>
            </w:r>
          </w:p>
        </w:tc>
        <w:tc>
          <w:tcPr>
            <w:tcW w:w="6663" w:type="dxa"/>
            <w:vAlign w:val="center"/>
          </w:tcPr>
          <w:p>
            <w:pPr>
              <w:spacing w:line="400" w:lineRule="exact"/>
              <w:jc w:val="center"/>
              <w:rPr>
                <w:rFonts w:eastAsia="黑体"/>
                <w:color w:val="000000"/>
                <w:sz w:val="32"/>
                <w:szCs w:val="32"/>
              </w:rPr>
            </w:pPr>
            <w:r>
              <w:rPr>
                <w:rFonts w:eastAsia="黑体"/>
                <w:color w:val="000000"/>
                <w:sz w:val="32"/>
                <w:szCs w:val="32"/>
              </w:rPr>
              <w:t>违法行为描述</w:t>
            </w:r>
          </w:p>
        </w:tc>
        <w:tc>
          <w:tcPr>
            <w:tcW w:w="1608" w:type="dxa"/>
            <w:vAlign w:val="center"/>
          </w:tcPr>
          <w:p>
            <w:pPr>
              <w:spacing w:line="400" w:lineRule="exact"/>
              <w:jc w:val="center"/>
              <w:rPr>
                <w:rFonts w:eastAsia="黑体"/>
                <w:color w:val="000000"/>
                <w:sz w:val="32"/>
                <w:szCs w:val="32"/>
              </w:rPr>
            </w:pPr>
            <w:r>
              <w:rPr>
                <w:rFonts w:eastAsia="黑体"/>
                <w:color w:val="000000"/>
                <w:sz w:val="32"/>
                <w:szCs w:val="32"/>
              </w:rPr>
              <w:t>记分分值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bookmarkStart w:id="0" w:name="_Hlk479855940"/>
            <w:r>
              <w:rPr>
                <w:rFonts w:eastAsia="仿宋_GB2312"/>
                <w:color w:val="000000"/>
                <w:sz w:val="32"/>
                <w:szCs w:val="32"/>
              </w:rPr>
              <w:t>1</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企业未建立、健全本单位安全生产责任制。</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企业未建立、健全本单位安全生产规章制度和操作规程。</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企业未建立考核机制对安全生产责任制、安全生产规章制度和操作规程贯彻落实情况进行监督考核。</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4</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企业未按照规定提取和使用安全生产费用，或未安排用于配备劳动防护用品、进行安全生产教育培训的经费。</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5</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企业事故隐患排查治理和建档监控等制度不健全，未逐级建立并落实从主要负责人到每个从业人员的隐患排查治理和监控责任制。</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6</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企业未足额保证事故隐患排查治理所需的资金或未建立资金使用专项制度。</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7</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企业未将事故隐患排查治理情况如实向从业人员通报。</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8</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企业未向相关从业人员如实告知作业场所和工作岗位存在的危险因素、防范措施以及事故应急措施。</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9</w:t>
            </w:r>
          </w:p>
        </w:tc>
        <w:tc>
          <w:tcPr>
            <w:tcW w:w="6663" w:type="dxa"/>
            <w:vAlign w:val="center"/>
          </w:tcPr>
          <w:p>
            <w:pPr>
              <w:spacing w:line="400" w:lineRule="exact"/>
              <w:rPr>
                <w:rFonts w:eastAsia="仿宋_GB2312"/>
                <w:color w:val="000000"/>
                <w:spacing w:val="-8"/>
                <w:sz w:val="32"/>
                <w:szCs w:val="32"/>
              </w:rPr>
            </w:pPr>
            <w:r>
              <w:rPr>
                <w:rFonts w:eastAsia="仿宋_GB2312"/>
                <w:color w:val="000000"/>
                <w:spacing w:val="-8"/>
                <w:sz w:val="32"/>
                <w:szCs w:val="32"/>
              </w:rPr>
              <w:t>企业未向相关从业人员提供符合国家标准或者行业标准的劳动防护用品或未监督、教育相关从业人员按照使用规则佩戴、使用劳动防护用品。</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10</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企业未将危险化学品事故应急预案报所在区安全监管局备案。</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11</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企业未配备必要的应急救援器材、设备和物资或应急救援器材、设备和物资维护保养不到位。</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12</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企业未定期组织应急救援演练。</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13</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危险化学品生产企业未向用户提供应急咨询服务或者应急咨询服务不符合危险化学品登记管理办法（国家安全监管总局令第53号）第二十二条</w:t>
            </w:r>
            <w:r>
              <w:rPr>
                <w:rFonts w:hint="eastAsia" w:eastAsia="仿宋_GB2312"/>
                <w:color w:val="000000"/>
                <w:sz w:val="32"/>
                <w:szCs w:val="32"/>
              </w:rPr>
              <w:t>的</w:t>
            </w:r>
            <w:r>
              <w:rPr>
                <w:rFonts w:eastAsia="仿宋_GB2312"/>
                <w:color w:val="000000"/>
                <w:sz w:val="32"/>
                <w:szCs w:val="32"/>
              </w:rPr>
              <w:t>规定。</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14</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企业名称、注册地址、应急咨询服务电话发生变化，未按规定按时办理危险化学品登记变更手续。</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15</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企业特殊作业安全管理不符合《化学品生产单位特殊作业安全规范》（GB30871）等有关规定。</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16</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企业未在有较大危险因素的生产经营场所和有关设施、设备上设置明显的安全警示标志。</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17</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危险化学品经营企业经营没有化学品安全技术说明书</w:t>
            </w:r>
            <w:r>
              <w:rPr>
                <w:rFonts w:hint="eastAsia" w:eastAsia="仿宋_GB2312"/>
                <w:color w:val="000000"/>
                <w:sz w:val="32"/>
                <w:szCs w:val="32"/>
              </w:rPr>
              <w:t>和</w:t>
            </w:r>
            <w:r>
              <w:rPr>
                <w:rFonts w:eastAsia="仿宋_GB2312"/>
                <w:color w:val="000000"/>
                <w:sz w:val="32"/>
                <w:szCs w:val="32"/>
              </w:rPr>
              <w:t>化学品安全标签的危险化学品。</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18</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企业危险化学品包装物、容器的材质以及包装的型式、规格、方法和单件质量（重量）与所包装的危险化学品的性质和用途不相适应。</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19</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主要负责人、安全生产管理人员不</w:t>
            </w:r>
            <w:r>
              <w:rPr>
                <w:rFonts w:hint="eastAsia" w:eastAsia="仿宋_GB2312"/>
                <w:color w:val="000000"/>
                <w:sz w:val="32"/>
                <w:szCs w:val="32"/>
              </w:rPr>
              <w:t>熟悉</w:t>
            </w:r>
            <w:r>
              <w:rPr>
                <w:rFonts w:eastAsia="仿宋_GB2312"/>
                <w:color w:val="000000"/>
                <w:sz w:val="32"/>
                <w:szCs w:val="32"/>
              </w:rPr>
              <w:t>法定安全生产职责、本单位危险因素。</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20</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主要负责人未督促、检查本单位的安全生产工作并及时消除生产安全事故隐患。</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1" w:hRule="atLeast"/>
        </w:trPr>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21</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安全生产管理人员未及时制止和纠正违章指挥、强令冒险作业、违反操作规程的行为。</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22</w:t>
            </w:r>
          </w:p>
        </w:tc>
        <w:tc>
          <w:tcPr>
            <w:tcW w:w="6663" w:type="dxa"/>
            <w:vAlign w:val="center"/>
          </w:tcPr>
          <w:p>
            <w:pPr>
              <w:spacing w:line="400" w:lineRule="exact"/>
              <w:rPr>
                <w:rFonts w:eastAsia="仿宋_GB2312"/>
                <w:color w:val="000000"/>
                <w:sz w:val="32"/>
                <w:szCs w:val="32"/>
              </w:rPr>
            </w:pPr>
            <w:bookmarkStart w:id="1" w:name="OLE_LINK2"/>
            <w:r>
              <w:rPr>
                <w:rFonts w:eastAsia="仿宋_GB2312"/>
                <w:color w:val="000000"/>
                <w:sz w:val="32"/>
                <w:szCs w:val="32"/>
              </w:rPr>
              <w:t>安全生产管理人员对安全生产状况检查不及时不到位，对检查中发现的安全问题未及时处理或未如实记录在案。</w:t>
            </w:r>
            <w:bookmarkEnd w:id="1"/>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3</w:t>
            </w:r>
          </w:p>
        </w:tc>
      </w:tr>
    </w:tbl>
    <w:p>
      <w:pPr>
        <w:rPr>
          <w:rFonts w:hint="eastAsia"/>
        </w:rPr>
      </w:pPr>
    </w:p>
    <w:p>
      <w:pPr>
        <w:sectPr>
          <w:pgSz w:w="11906" w:h="16838"/>
          <w:pgMar w:top="2098" w:right="1474" w:bottom="1985" w:left="1588" w:header="851" w:footer="992" w:gutter="0"/>
          <w:pgNumType w:fmt="numberInDash"/>
          <w:cols w:space="720" w:num="1"/>
          <w:docGrid w:type="lines" w:linePitch="312" w:charSpace="0"/>
        </w:sectPr>
      </w:pPr>
    </w:p>
    <w:p/>
    <w:tbl>
      <w:tblPr>
        <w:tblStyle w:val="3"/>
        <w:tblW w:w="9264"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663"/>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23</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相关从业人员</w:t>
            </w:r>
            <w:r>
              <w:rPr>
                <w:rFonts w:hint="eastAsia" w:eastAsia="仿宋_GB2312"/>
                <w:color w:val="000000"/>
                <w:sz w:val="32"/>
                <w:szCs w:val="32"/>
              </w:rPr>
              <w:t>不熟悉</w:t>
            </w:r>
            <w:r>
              <w:rPr>
                <w:rFonts w:eastAsia="仿宋_GB2312"/>
                <w:color w:val="000000"/>
                <w:sz w:val="32"/>
                <w:szCs w:val="32"/>
              </w:rPr>
              <w:t>本岗位危险因素、防范措施、事故应急措施和安全操作规程。</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93" w:type="dxa"/>
            <w:vAlign w:val="center"/>
          </w:tcPr>
          <w:p>
            <w:pPr>
              <w:spacing w:line="400" w:lineRule="exact"/>
              <w:jc w:val="center"/>
              <w:rPr>
                <w:rFonts w:eastAsia="仿宋_GB2312"/>
                <w:color w:val="000000"/>
                <w:sz w:val="32"/>
                <w:szCs w:val="32"/>
              </w:rPr>
            </w:pPr>
            <w:r>
              <w:rPr>
                <w:rFonts w:eastAsia="仿宋_GB2312"/>
                <w:color w:val="000000"/>
                <w:sz w:val="32"/>
                <w:szCs w:val="32"/>
              </w:rPr>
              <w:t>24</w:t>
            </w:r>
          </w:p>
        </w:tc>
        <w:tc>
          <w:tcPr>
            <w:tcW w:w="6663" w:type="dxa"/>
            <w:vAlign w:val="center"/>
          </w:tcPr>
          <w:p>
            <w:pPr>
              <w:spacing w:line="400" w:lineRule="exact"/>
              <w:rPr>
                <w:rFonts w:eastAsia="仿宋_GB2312"/>
                <w:color w:val="000000"/>
                <w:sz w:val="32"/>
                <w:szCs w:val="32"/>
              </w:rPr>
            </w:pPr>
            <w:r>
              <w:rPr>
                <w:rFonts w:eastAsia="仿宋_GB2312"/>
                <w:color w:val="000000"/>
                <w:sz w:val="32"/>
                <w:szCs w:val="32"/>
              </w:rPr>
              <w:t>相关从业人员在作业过程中未正确佩戴和使用劳动防护用品。</w:t>
            </w:r>
          </w:p>
        </w:tc>
        <w:tc>
          <w:tcPr>
            <w:tcW w:w="1608" w:type="dxa"/>
            <w:vAlign w:val="center"/>
          </w:tcPr>
          <w:p>
            <w:pPr>
              <w:spacing w:line="400" w:lineRule="exact"/>
              <w:jc w:val="center"/>
              <w:rPr>
                <w:rFonts w:eastAsia="仿宋_GB2312"/>
                <w:color w:val="000000"/>
                <w:sz w:val="32"/>
                <w:szCs w:val="32"/>
              </w:rPr>
            </w:pPr>
            <w:r>
              <w:rPr>
                <w:rFonts w:eastAsia="仿宋_GB2312"/>
                <w:color w:val="000000"/>
                <w:sz w:val="32"/>
                <w:szCs w:val="32"/>
              </w:rPr>
              <w:t>1</w:t>
            </w:r>
          </w:p>
        </w:tc>
      </w:tr>
      <w:bookmarkEnd w:id="0"/>
    </w:tbl>
    <w:p>
      <w:pPr>
        <w:spacing w:line="600" w:lineRule="exact"/>
        <w:rPr>
          <w:rFonts w:ascii="Times New Roman" w:eastAsia="方正小标宋简体"/>
          <w:sz w:val="44"/>
          <w:szCs w:val="4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167F2"/>
    <w:rsid w:val="6E0167F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2023-01-13T07:48:00Z</dcterms:created>
  <dc:creator>hp</dc:creator>
  <cp:lastModifiedBy>hp</cp:lastModifiedBy>
  <dcterms:modified xsi:type="dcterms:W3CDTF">2023-01-13T07:49:01Z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